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61" w:rsidRPr="002A2297" w:rsidRDefault="002A2297" w:rsidP="00660061">
      <w:pPr>
        <w:pStyle w:val="Heading1"/>
        <w:rPr>
          <w:rFonts w:ascii="Cambria" w:hAnsi="Cambria"/>
          <w:color w:val="auto"/>
          <w:sz w:val="24"/>
          <w:szCs w:val="24"/>
        </w:rPr>
      </w:pPr>
      <w:bookmarkStart w:id="0" w:name="_GoBack"/>
      <w:bookmarkEnd w:id="0"/>
      <w:r w:rsidRPr="002A2297">
        <w:rPr>
          <w:rFonts w:ascii="Cambria" w:hAnsi="Cambria"/>
          <w:color w:val="auto"/>
          <w:sz w:val="24"/>
          <w:szCs w:val="24"/>
        </w:rPr>
        <w:t>Luca FABRIS</w:t>
      </w:r>
      <w:r w:rsidR="00660061" w:rsidRPr="002A2297">
        <w:rPr>
          <w:rFonts w:ascii="Cambria" w:hAnsi="Cambria"/>
          <w:color w:val="auto"/>
          <w:sz w:val="24"/>
          <w:szCs w:val="24"/>
        </w:rPr>
        <w:t xml:space="preserve">, </w:t>
      </w:r>
      <w:r w:rsidRPr="002A2297">
        <w:rPr>
          <w:rFonts w:ascii="Cambria" w:hAnsi="Cambria"/>
          <w:color w:val="auto"/>
          <w:sz w:val="24"/>
          <w:szCs w:val="24"/>
        </w:rPr>
        <w:t xml:space="preserve">MD, </w:t>
      </w:r>
      <w:r w:rsidR="00660061" w:rsidRPr="002A2297">
        <w:rPr>
          <w:rFonts w:ascii="Cambria" w:hAnsi="Cambria"/>
          <w:color w:val="auto"/>
          <w:sz w:val="24"/>
          <w:szCs w:val="24"/>
        </w:rPr>
        <w:t>PhD</w:t>
      </w:r>
    </w:p>
    <w:p w:rsidR="00660061" w:rsidRPr="002A2297" w:rsidRDefault="00660061" w:rsidP="00660061">
      <w:pPr>
        <w:pStyle w:val="Heading2"/>
        <w:rPr>
          <w:rFonts w:ascii="Cambria" w:hAnsi="Cambria"/>
          <w:color w:val="auto"/>
          <w:sz w:val="24"/>
          <w:szCs w:val="24"/>
        </w:rPr>
      </w:pPr>
      <w:r w:rsidRPr="002A2297">
        <w:rPr>
          <w:rFonts w:ascii="Cambria" w:hAnsi="Cambria"/>
          <w:color w:val="auto"/>
          <w:sz w:val="24"/>
          <w:szCs w:val="24"/>
        </w:rPr>
        <w:t>A</w:t>
      </w:r>
      <w:r w:rsidR="002A2297" w:rsidRPr="002A2297">
        <w:rPr>
          <w:rFonts w:ascii="Cambria" w:hAnsi="Cambria"/>
          <w:color w:val="auto"/>
          <w:sz w:val="24"/>
          <w:szCs w:val="24"/>
        </w:rPr>
        <w:t>djunct Assistant</w:t>
      </w:r>
      <w:r w:rsidRPr="002A2297">
        <w:rPr>
          <w:rFonts w:ascii="Cambria" w:hAnsi="Cambria"/>
          <w:color w:val="auto"/>
          <w:sz w:val="24"/>
          <w:szCs w:val="24"/>
        </w:rPr>
        <w:t xml:space="preserve"> Professor of Interna</w:t>
      </w:r>
      <w:r w:rsidR="002A2297" w:rsidRPr="002A2297">
        <w:rPr>
          <w:rFonts w:ascii="Cambria" w:hAnsi="Cambria"/>
          <w:color w:val="auto"/>
          <w:sz w:val="24"/>
          <w:szCs w:val="24"/>
        </w:rPr>
        <w:t>l Medicine (Digestive Diseases)</w:t>
      </w:r>
    </w:p>
    <w:p w:rsidR="002A2297" w:rsidRDefault="002A2297" w:rsidP="002A2297">
      <w:pPr>
        <w:rPr>
          <w:rFonts w:ascii="Cambria" w:hAnsi="Cambria"/>
          <w:sz w:val="24"/>
          <w:szCs w:val="24"/>
        </w:rPr>
      </w:pPr>
      <w:r w:rsidRPr="002A2297">
        <w:rPr>
          <w:rFonts w:ascii="Cambria" w:hAnsi="Cambria"/>
          <w:sz w:val="24"/>
          <w:szCs w:val="24"/>
        </w:rPr>
        <w:t>Associate Professor of Gastroenterology, Department of Molecular Medicine, University of Padova</w:t>
      </w:r>
    </w:p>
    <w:p w:rsidR="00853958" w:rsidRDefault="00853958" w:rsidP="00660061">
      <w:pPr>
        <w:pStyle w:val="Heading3"/>
        <w:rPr>
          <w:lang w:val="en-US"/>
        </w:rPr>
      </w:pPr>
      <w:r w:rsidRPr="00853958">
        <w:rPr>
          <w:noProof/>
          <w:lang w:val="en-US" w:eastAsia="en-US"/>
        </w:rPr>
        <w:drawing>
          <wp:inline distT="0" distB="0" distL="0" distR="0">
            <wp:extent cx="3697716" cy="5281295"/>
            <wp:effectExtent l="0" t="0" r="0" b="0"/>
            <wp:docPr id="3" name="Picture 3" descr="C:\Users\Luca\Pictures\Lisbon, Falk symposium 05-2015\1819704L_Fab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\Pictures\Lisbon, Falk symposium 05-2015\1819704L_Fabr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22" cy="52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58" w:rsidRDefault="00853958">
      <w:pPr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  <w:u w:val="single"/>
        </w:rPr>
        <w:br w:type="page"/>
      </w:r>
    </w:p>
    <w:p w:rsidR="00853958" w:rsidRPr="00853958" w:rsidRDefault="00853958" w:rsidP="00853958">
      <w:pPr>
        <w:rPr>
          <w:rFonts w:ascii="Cambria" w:hAnsi="Cambria"/>
          <w:b/>
          <w:color w:val="FF0000"/>
          <w:sz w:val="24"/>
          <w:szCs w:val="24"/>
          <w:u w:val="single"/>
        </w:rPr>
      </w:pPr>
      <w:r w:rsidRPr="00853958">
        <w:rPr>
          <w:rFonts w:ascii="Cambria" w:hAnsi="Cambria"/>
          <w:b/>
          <w:color w:val="FF0000"/>
          <w:sz w:val="24"/>
          <w:szCs w:val="24"/>
          <w:u w:val="single"/>
        </w:rPr>
        <w:lastRenderedPageBreak/>
        <w:t>BIOGRAPHY</w:t>
      </w:r>
    </w:p>
    <w:p w:rsidR="00853958" w:rsidRPr="00853958" w:rsidRDefault="00853958" w:rsidP="00853958">
      <w:pPr>
        <w:rPr>
          <w:rFonts w:ascii="Cambria" w:hAnsi="Cambria"/>
          <w:b/>
          <w:sz w:val="24"/>
          <w:szCs w:val="24"/>
        </w:rPr>
      </w:pPr>
      <w:r w:rsidRPr="00853958">
        <w:rPr>
          <w:rFonts w:ascii="Cambria" w:hAnsi="Cambria"/>
          <w:b/>
          <w:sz w:val="24"/>
          <w:szCs w:val="24"/>
        </w:rPr>
        <w:t>DEPARTMENTS AND ORGANIZATIONS</w:t>
      </w:r>
    </w:p>
    <w:p w:rsidR="00853958" w:rsidRPr="00853958" w:rsidRDefault="00853958" w:rsidP="00853958">
      <w:pPr>
        <w:pStyle w:val="NormalWeb"/>
        <w:rPr>
          <w:rFonts w:ascii="Cambria" w:hAnsi="Cambria"/>
          <w:lang w:val="en-US"/>
        </w:rPr>
      </w:pPr>
      <w:r w:rsidRPr="00853958">
        <w:rPr>
          <w:rStyle w:val="Strong"/>
          <w:rFonts w:ascii="Cambria" w:hAnsi="Cambria"/>
          <w:lang w:val="en-US"/>
        </w:rPr>
        <w:t>I</w:t>
      </w:r>
      <w:hyperlink r:id="rId6" w:history="1">
        <w:r w:rsidRPr="00853958">
          <w:rPr>
            <w:rStyle w:val="Hyperlink"/>
            <w:rFonts w:ascii="Cambria" w:hAnsi="Cambria"/>
            <w:b/>
            <w:bCs/>
            <w:color w:val="auto"/>
            <w:u w:val="none"/>
            <w:lang w:val="en-US"/>
          </w:rPr>
          <w:t>nternal Medicine</w:t>
        </w:r>
      </w:hyperlink>
      <w:r w:rsidRPr="00853958">
        <w:rPr>
          <w:rStyle w:val="Strong"/>
          <w:rFonts w:ascii="Cambria" w:hAnsi="Cambria"/>
          <w:lang w:val="en-US"/>
        </w:rPr>
        <w:t xml:space="preserve">: </w:t>
      </w:r>
      <w:hyperlink r:id="rId7" w:history="1">
        <w:r w:rsidRPr="00853958">
          <w:rPr>
            <w:rStyle w:val="Hyperlink"/>
            <w:rFonts w:ascii="Cambria" w:hAnsi="Cambria"/>
            <w:color w:val="auto"/>
            <w:u w:val="none"/>
            <w:lang w:val="en-US"/>
          </w:rPr>
          <w:t>Digestive Diseases</w:t>
        </w:r>
      </w:hyperlink>
      <w:r w:rsidRPr="00853958">
        <w:rPr>
          <w:rFonts w:ascii="Cambria" w:hAnsi="Cambria"/>
          <w:lang w:val="en-US"/>
        </w:rPr>
        <w:t xml:space="preserve"> | </w:t>
      </w:r>
      <w:hyperlink r:id="rId8" w:history="1">
        <w:r w:rsidRPr="00853958">
          <w:rPr>
            <w:rStyle w:val="Hyperlink"/>
            <w:rFonts w:ascii="Cambria" w:hAnsi="Cambria"/>
            <w:color w:val="auto"/>
            <w:u w:val="none"/>
            <w:lang w:val="en-US"/>
          </w:rPr>
          <w:t>Liver Center</w:t>
        </w:r>
      </w:hyperlink>
    </w:p>
    <w:p w:rsidR="00853958" w:rsidRPr="00853958" w:rsidRDefault="006311C9" w:rsidP="00853958">
      <w:pPr>
        <w:pStyle w:val="NormalWeb"/>
        <w:rPr>
          <w:rFonts w:ascii="Cambria" w:hAnsi="Cambria"/>
          <w:lang w:val="en-US"/>
        </w:rPr>
      </w:pPr>
      <w:hyperlink r:id="rId9" w:history="1">
        <w:r w:rsidR="00853958" w:rsidRPr="00853958">
          <w:rPr>
            <w:rStyle w:val="Hyperlink"/>
            <w:rFonts w:ascii="Cambria" w:hAnsi="Cambria"/>
            <w:color w:val="auto"/>
            <w:u w:val="none"/>
            <w:lang w:val="en-US"/>
          </w:rPr>
          <w:t>Faculty Research</w:t>
        </w:r>
      </w:hyperlink>
    </w:p>
    <w:p w:rsidR="00853958" w:rsidRPr="00853958" w:rsidRDefault="00853958" w:rsidP="00853958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</w:pPr>
      <w:r w:rsidRPr="00853958"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  <w:t>EDUCATION &amp; TRAINING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5614"/>
      </w:tblGrid>
      <w:tr w:rsidR="00853958" w:rsidRPr="00853958" w:rsidTr="00A5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  <w:t>PhD</w:t>
            </w:r>
          </w:p>
        </w:tc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University of Milan, Italy (1997)</w:t>
            </w:r>
          </w:p>
        </w:tc>
      </w:tr>
      <w:tr w:rsidR="00853958" w:rsidRPr="00853958" w:rsidTr="00A5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  <w:t>MD</w:t>
            </w:r>
          </w:p>
        </w:tc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University of Padova</w:t>
            </w:r>
            <w:r w:rsidR="008A2942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, Italy</w:t>
            </w: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 xml:space="preserve"> (1987)</w:t>
            </w:r>
          </w:p>
        </w:tc>
      </w:tr>
      <w:tr w:rsidR="00853958" w:rsidRPr="00853958" w:rsidTr="00A5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  <w:t>Resident</w:t>
            </w:r>
          </w:p>
        </w:tc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University of Padova</w:t>
            </w:r>
            <w:r w:rsidR="008A2942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, Italy</w:t>
            </w:r>
          </w:p>
        </w:tc>
      </w:tr>
      <w:tr w:rsidR="00853958" w:rsidRPr="00853958" w:rsidTr="00A5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  <w:t>Fellow</w:t>
            </w:r>
          </w:p>
        </w:tc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University of Padova</w:t>
            </w:r>
            <w:r w:rsidR="008A2942">
              <w:rPr>
                <w:rFonts w:ascii="Cambria" w:eastAsia="Times New Roman" w:hAnsi="Cambria" w:cs="Times New Roman"/>
                <w:sz w:val="24"/>
                <w:szCs w:val="24"/>
                <w:lang w:val="it-IT" w:eastAsia="it-IT"/>
              </w:rPr>
              <w:t>, Italy</w:t>
            </w:r>
          </w:p>
        </w:tc>
      </w:tr>
      <w:tr w:rsidR="00853958" w:rsidRPr="00853958" w:rsidTr="00A5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958" w:rsidRPr="00853958" w:rsidRDefault="00853958" w:rsidP="00A51B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5395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it-IT" w:eastAsia="it-IT"/>
              </w:rPr>
              <w:t>Fellow</w:t>
            </w:r>
          </w:p>
        </w:tc>
        <w:tc>
          <w:tcPr>
            <w:tcW w:w="0" w:type="auto"/>
            <w:vAlign w:val="center"/>
            <w:hideMark/>
          </w:tcPr>
          <w:p w:rsidR="00853958" w:rsidRPr="00853958" w:rsidRDefault="00853958" w:rsidP="008A294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it-IT"/>
              </w:rPr>
            </w:pP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en-US" w:eastAsia="it-IT"/>
              </w:rPr>
              <w:t xml:space="preserve">University of </w:t>
            </w:r>
            <w:r w:rsidR="008A2942">
              <w:rPr>
                <w:rFonts w:ascii="Cambria" w:eastAsia="Times New Roman" w:hAnsi="Cambria" w:cs="Times New Roman"/>
                <w:sz w:val="24"/>
                <w:szCs w:val="24"/>
                <w:lang w:val="en-US" w:eastAsia="it-IT"/>
              </w:rPr>
              <w:t>Birmingham, United Kingdom</w:t>
            </w:r>
            <w:r w:rsidRPr="00853958">
              <w:rPr>
                <w:rFonts w:ascii="Cambria" w:eastAsia="Times New Roman" w:hAnsi="Cambria" w:cs="Times New Roman"/>
                <w:sz w:val="24"/>
                <w:szCs w:val="24"/>
                <w:lang w:val="en-US" w:eastAsia="it-IT"/>
              </w:rPr>
              <w:t xml:space="preserve"> (1995-96)</w:t>
            </w:r>
          </w:p>
        </w:tc>
      </w:tr>
    </w:tbl>
    <w:p w:rsidR="00853958" w:rsidRPr="00853958" w:rsidRDefault="00853958" w:rsidP="00853958">
      <w:pPr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853958" w:rsidRPr="00853958" w:rsidRDefault="00853958" w:rsidP="00660061">
      <w:pPr>
        <w:pStyle w:val="Heading3"/>
        <w:rPr>
          <w:rFonts w:ascii="Cambria" w:hAnsi="Cambria"/>
          <w:color w:val="FF0000"/>
          <w:sz w:val="24"/>
          <w:szCs w:val="24"/>
          <w:u w:val="single"/>
          <w:lang w:val="en-US"/>
        </w:rPr>
      </w:pPr>
      <w:r w:rsidRPr="00853958">
        <w:rPr>
          <w:rFonts w:ascii="Cambria" w:hAnsi="Cambria"/>
          <w:color w:val="FF0000"/>
          <w:sz w:val="24"/>
          <w:szCs w:val="24"/>
          <w:u w:val="single"/>
          <w:lang w:val="en-US"/>
        </w:rPr>
        <w:t>RESEARCH &amp; PUBLICATIONS</w:t>
      </w:r>
    </w:p>
    <w:p w:rsidR="00660061" w:rsidRPr="007C23BD" w:rsidRDefault="00660061" w:rsidP="00660061">
      <w:pPr>
        <w:pStyle w:val="Heading3"/>
        <w:rPr>
          <w:rFonts w:ascii="Cambria" w:hAnsi="Cambria"/>
          <w:caps/>
          <w:sz w:val="24"/>
          <w:szCs w:val="24"/>
          <w:lang w:val="en-US"/>
        </w:rPr>
      </w:pPr>
      <w:r w:rsidRPr="007C23BD">
        <w:rPr>
          <w:rFonts w:ascii="Cambria" w:hAnsi="Cambria"/>
          <w:caps/>
          <w:sz w:val="24"/>
          <w:szCs w:val="24"/>
          <w:lang w:val="en-US"/>
        </w:rPr>
        <w:t>Research Interests</w:t>
      </w:r>
    </w:p>
    <w:p w:rsidR="00660061" w:rsidRPr="00853958" w:rsidRDefault="00660061" w:rsidP="00660061">
      <w:pPr>
        <w:pStyle w:val="NormalWeb"/>
        <w:rPr>
          <w:rFonts w:ascii="Cambria" w:hAnsi="Cambria"/>
          <w:lang w:val="en-US"/>
        </w:rPr>
      </w:pPr>
      <w:r w:rsidRPr="00853958">
        <w:rPr>
          <w:rFonts w:ascii="Cambria" w:hAnsi="Cambria"/>
          <w:lang w:val="en-US"/>
        </w:rPr>
        <w:t>Biliary Tract Diseases; C</w:t>
      </w:r>
      <w:r w:rsidR="00853958">
        <w:rPr>
          <w:rFonts w:ascii="Cambria" w:hAnsi="Cambria"/>
          <w:lang w:val="en-US"/>
        </w:rPr>
        <w:t>holangiocarcinoma; Congenital He</w:t>
      </w:r>
      <w:r w:rsidR="002A2297" w:rsidRPr="00853958">
        <w:rPr>
          <w:rFonts w:ascii="Cambria" w:hAnsi="Cambria"/>
          <w:lang w:val="en-US"/>
        </w:rPr>
        <w:t xml:space="preserve">patic </w:t>
      </w:r>
      <w:r w:rsidR="00853958">
        <w:rPr>
          <w:rFonts w:ascii="Cambria" w:hAnsi="Cambria"/>
          <w:lang w:val="en-US"/>
        </w:rPr>
        <w:t>F</w:t>
      </w:r>
      <w:r w:rsidR="002A2297" w:rsidRPr="00853958">
        <w:rPr>
          <w:rFonts w:ascii="Cambria" w:hAnsi="Cambria"/>
          <w:lang w:val="en-US"/>
        </w:rPr>
        <w:t xml:space="preserve">ibrosis; Primary </w:t>
      </w:r>
      <w:r w:rsidR="00853958">
        <w:rPr>
          <w:rFonts w:ascii="Cambria" w:hAnsi="Cambria"/>
          <w:lang w:val="en-US"/>
        </w:rPr>
        <w:t>S</w:t>
      </w:r>
      <w:r w:rsidR="002A2297" w:rsidRPr="00853958">
        <w:rPr>
          <w:rFonts w:ascii="Cambria" w:hAnsi="Cambria"/>
          <w:lang w:val="en-US"/>
        </w:rPr>
        <w:t xml:space="preserve">clerosing </w:t>
      </w:r>
      <w:r w:rsidR="00853958">
        <w:rPr>
          <w:rFonts w:ascii="Cambria" w:hAnsi="Cambria"/>
          <w:lang w:val="en-US"/>
        </w:rPr>
        <w:t>C</w:t>
      </w:r>
      <w:r w:rsidR="002A2297" w:rsidRPr="00853958">
        <w:rPr>
          <w:rFonts w:ascii="Cambria" w:hAnsi="Cambria"/>
          <w:lang w:val="en-US"/>
        </w:rPr>
        <w:t>holangitis</w:t>
      </w:r>
    </w:p>
    <w:p w:rsidR="00660061" w:rsidRPr="007C23BD" w:rsidRDefault="00660061" w:rsidP="00660061">
      <w:pPr>
        <w:pStyle w:val="Heading3"/>
        <w:rPr>
          <w:rFonts w:ascii="Cambria" w:hAnsi="Cambria"/>
          <w:caps/>
          <w:sz w:val="24"/>
          <w:szCs w:val="24"/>
          <w:lang w:val="en-US"/>
        </w:rPr>
      </w:pPr>
      <w:r w:rsidRPr="007C23BD">
        <w:rPr>
          <w:rFonts w:ascii="Cambria" w:hAnsi="Cambria"/>
          <w:caps/>
          <w:sz w:val="24"/>
          <w:szCs w:val="24"/>
          <w:lang w:val="en-US"/>
        </w:rPr>
        <w:t>Research Organizations</w:t>
      </w:r>
    </w:p>
    <w:p w:rsidR="00660061" w:rsidRPr="007C23BD" w:rsidRDefault="006311C9" w:rsidP="00660061">
      <w:pPr>
        <w:pStyle w:val="NormalWeb"/>
        <w:rPr>
          <w:rFonts w:ascii="Cambria" w:hAnsi="Cambria"/>
          <w:lang w:val="en-US"/>
        </w:rPr>
      </w:pPr>
      <w:hyperlink r:id="rId10" w:history="1">
        <w:r w:rsidR="00660061" w:rsidRPr="007C23BD">
          <w:rPr>
            <w:rStyle w:val="Hyperlink"/>
            <w:rFonts w:ascii="Cambria" w:hAnsi="Cambria"/>
            <w:b/>
            <w:bCs/>
            <w:color w:val="auto"/>
            <w:u w:val="none"/>
            <w:lang w:val="en-US"/>
          </w:rPr>
          <w:t>Internal Medicine</w:t>
        </w:r>
      </w:hyperlink>
      <w:r w:rsidR="00660061" w:rsidRPr="007C23BD">
        <w:rPr>
          <w:rStyle w:val="Strong"/>
          <w:rFonts w:ascii="Cambria" w:hAnsi="Cambria"/>
          <w:lang w:val="en-US"/>
        </w:rPr>
        <w:t xml:space="preserve">: </w:t>
      </w:r>
      <w:hyperlink r:id="rId11" w:history="1">
        <w:r w:rsidR="00660061" w:rsidRPr="007C23BD">
          <w:rPr>
            <w:rStyle w:val="Hyperlink"/>
            <w:rFonts w:ascii="Cambria" w:hAnsi="Cambria"/>
            <w:color w:val="auto"/>
            <w:u w:val="none"/>
            <w:lang w:val="en-US"/>
          </w:rPr>
          <w:t>Digestive Diseases</w:t>
        </w:r>
      </w:hyperlink>
      <w:r w:rsidR="00660061" w:rsidRPr="007C23BD">
        <w:rPr>
          <w:rFonts w:ascii="Cambria" w:hAnsi="Cambria"/>
          <w:lang w:val="en-US"/>
        </w:rPr>
        <w:t xml:space="preserve"> | </w:t>
      </w:r>
      <w:hyperlink r:id="rId12" w:history="1">
        <w:r w:rsidR="00660061" w:rsidRPr="007C23BD">
          <w:rPr>
            <w:rStyle w:val="Hyperlink"/>
            <w:rFonts w:ascii="Cambria" w:hAnsi="Cambria"/>
            <w:color w:val="auto"/>
            <w:u w:val="none"/>
            <w:lang w:val="en-US"/>
          </w:rPr>
          <w:t>Liver Center</w:t>
        </w:r>
      </w:hyperlink>
    </w:p>
    <w:p w:rsidR="00660061" w:rsidRPr="007C23BD" w:rsidRDefault="006311C9" w:rsidP="00660061">
      <w:pPr>
        <w:pStyle w:val="NormalWeb"/>
        <w:rPr>
          <w:rFonts w:ascii="Cambria" w:hAnsi="Cambria"/>
          <w:lang w:val="en-US"/>
        </w:rPr>
      </w:pPr>
      <w:hyperlink r:id="rId13" w:history="1">
        <w:r w:rsidR="00660061" w:rsidRPr="007C23BD">
          <w:rPr>
            <w:rStyle w:val="Hyperlink"/>
            <w:rFonts w:ascii="Cambria" w:hAnsi="Cambria"/>
            <w:color w:val="auto"/>
            <w:u w:val="none"/>
            <w:lang w:val="en-US"/>
          </w:rPr>
          <w:t>Faculty Research</w:t>
        </w:r>
      </w:hyperlink>
    </w:p>
    <w:p w:rsidR="00660061" w:rsidRPr="007C23BD" w:rsidRDefault="00660061" w:rsidP="00660061">
      <w:pPr>
        <w:pStyle w:val="Heading3"/>
        <w:rPr>
          <w:rFonts w:ascii="Cambria" w:hAnsi="Cambria"/>
          <w:caps/>
          <w:sz w:val="24"/>
          <w:szCs w:val="24"/>
          <w:lang w:val="en-US"/>
        </w:rPr>
      </w:pPr>
      <w:r w:rsidRPr="007C23BD">
        <w:rPr>
          <w:rFonts w:ascii="Cambria" w:hAnsi="Cambria"/>
          <w:caps/>
          <w:sz w:val="24"/>
          <w:szCs w:val="24"/>
          <w:lang w:val="en-US"/>
        </w:rPr>
        <w:t>Research Summary</w:t>
      </w:r>
    </w:p>
    <w:p w:rsidR="002A2297" w:rsidRPr="00853958" w:rsidRDefault="002A2297" w:rsidP="002A2297">
      <w:pPr>
        <w:rPr>
          <w:rFonts w:ascii="Cambria" w:hAnsi="Cambria" w:cs="Arial"/>
          <w:sz w:val="24"/>
          <w:szCs w:val="24"/>
          <w:lang w:val="en-GB"/>
        </w:rPr>
      </w:pPr>
      <w:r w:rsidRPr="00853958">
        <w:rPr>
          <w:rFonts w:ascii="Cambria" w:hAnsi="Cambria" w:cs="Arial"/>
          <w:bCs/>
          <w:sz w:val="24"/>
          <w:szCs w:val="24"/>
        </w:rPr>
        <w:t xml:space="preserve">The major goal of my research is to study the cell biology of biliary epithelial cells and apply this knowledge to understand the pathophysiology of biliary tree diseases (cholangiopathies). </w:t>
      </w:r>
      <w:r w:rsidRPr="00853958">
        <w:rPr>
          <w:rFonts w:ascii="Cambria" w:hAnsi="Cambria" w:cs="Arial"/>
          <w:sz w:val="24"/>
          <w:szCs w:val="24"/>
          <w:lang w:val="en-GB"/>
        </w:rPr>
        <w:t>This goal is pursued within two specific areas of interest:</w:t>
      </w:r>
    </w:p>
    <w:p w:rsidR="002A2297" w:rsidRPr="00853958" w:rsidRDefault="002A2297" w:rsidP="002A2297">
      <w:pPr>
        <w:pStyle w:val="ListParagraph"/>
        <w:numPr>
          <w:ilvl w:val="0"/>
          <w:numId w:val="1"/>
        </w:numPr>
        <w:rPr>
          <w:rFonts w:ascii="Cambria" w:hAnsi="Cambria" w:cs="Arial"/>
          <w:lang w:val="en-GB"/>
        </w:rPr>
      </w:pPr>
      <w:r w:rsidRPr="00853958">
        <w:rPr>
          <w:rFonts w:ascii="Cambria" w:hAnsi="Cambria" w:cs="Arial"/>
          <w:i/>
          <w:lang w:val="en-GB"/>
        </w:rPr>
        <w:t xml:space="preserve">Genetic and immune-mediated </w:t>
      </w:r>
      <w:proofErr w:type="spellStart"/>
      <w:r w:rsidRPr="00853958">
        <w:rPr>
          <w:rFonts w:ascii="Cambria" w:hAnsi="Cambria" w:cs="Arial"/>
          <w:i/>
          <w:lang w:val="en-GB"/>
        </w:rPr>
        <w:t>cholangiopathies</w:t>
      </w:r>
      <w:proofErr w:type="spellEnd"/>
      <w:r w:rsidRPr="00853958">
        <w:rPr>
          <w:rFonts w:ascii="Cambria" w:hAnsi="Cambria" w:cs="Arial"/>
          <w:lang w:val="en-GB"/>
        </w:rPr>
        <w:t xml:space="preserve">, as models of liver disease to study: </w:t>
      </w:r>
    </w:p>
    <w:p w:rsidR="002A2297" w:rsidRPr="00853958" w:rsidRDefault="002A2297" w:rsidP="002A2297">
      <w:pPr>
        <w:pStyle w:val="ListParagraph"/>
        <w:numPr>
          <w:ilvl w:val="0"/>
          <w:numId w:val="3"/>
        </w:numPr>
        <w:rPr>
          <w:rFonts w:ascii="Cambria" w:hAnsi="Cambria" w:cs="Arial"/>
          <w:lang w:val="en-GB"/>
        </w:rPr>
      </w:pPr>
      <w:r w:rsidRPr="00853958">
        <w:rPr>
          <w:rFonts w:ascii="Cambria" w:hAnsi="Cambria" w:cs="Arial"/>
          <w:lang w:val="en-GB"/>
        </w:rPr>
        <w:t xml:space="preserve">liver repair mechanisms, with focus on the role of </w:t>
      </w:r>
      <w:proofErr w:type="spellStart"/>
      <w:r w:rsidRPr="00853958">
        <w:rPr>
          <w:rFonts w:ascii="Cambria" w:hAnsi="Cambria" w:cs="Arial"/>
          <w:lang w:val="en-GB"/>
        </w:rPr>
        <w:t>ductular</w:t>
      </w:r>
      <w:proofErr w:type="spellEnd"/>
      <w:r w:rsidRPr="00853958">
        <w:rPr>
          <w:rFonts w:ascii="Cambria" w:hAnsi="Cambria" w:cs="Arial"/>
          <w:lang w:val="en-GB"/>
        </w:rPr>
        <w:t xml:space="preserve"> reaction as it relates to the progression of chronic biliary damage</w:t>
      </w:r>
    </w:p>
    <w:p w:rsidR="002A2297" w:rsidRPr="00853958" w:rsidRDefault="002A2297" w:rsidP="002A2297">
      <w:pPr>
        <w:pStyle w:val="ListParagraph"/>
        <w:numPr>
          <w:ilvl w:val="0"/>
          <w:numId w:val="3"/>
        </w:numPr>
        <w:rPr>
          <w:rFonts w:ascii="Cambria" w:hAnsi="Cambria" w:cs="Arial"/>
          <w:lang w:val="en-GB"/>
        </w:rPr>
      </w:pPr>
      <w:r w:rsidRPr="00853958">
        <w:rPr>
          <w:rFonts w:ascii="Cambria" w:hAnsi="Cambria" w:cs="Arial"/>
          <w:lang w:val="en-GB"/>
        </w:rPr>
        <w:t xml:space="preserve">epithelial-mesenchymal interactions and cross-talk mechanisms, with focus on the involvement of macrophages and </w:t>
      </w:r>
      <w:proofErr w:type="spellStart"/>
      <w:r w:rsidRPr="00853958">
        <w:rPr>
          <w:rFonts w:ascii="Cambria" w:hAnsi="Cambria" w:cs="Arial"/>
          <w:lang w:val="en-GB"/>
        </w:rPr>
        <w:t>fibrocytes</w:t>
      </w:r>
      <w:proofErr w:type="spellEnd"/>
      <w:r w:rsidRPr="00853958">
        <w:rPr>
          <w:rFonts w:ascii="Cambria" w:hAnsi="Cambria" w:cs="Arial"/>
          <w:lang w:val="en-GB"/>
        </w:rPr>
        <w:t xml:space="preserve"> in liver fibrosis</w:t>
      </w:r>
    </w:p>
    <w:p w:rsidR="002A2297" w:rsidRPr="00853958" w:rsidRDefault="002A2297" w:rsidP="002A2297">
      <w:pPr>
        <w:pStyle w:val="ListParagraph"/>
        <w:rPr>
          <w:rFonts w:ascii="Cambria" w:hAnsi="Cambria" w:cs="Arial"/>
          <w:lang w:val="en-GB"/>
        </w:rPr>
      </w:pPr>
    </w:p>
    <w:p w:rsidR="002A2297" w:rsidRPr="00853958" w:rsidRDefault="002A2297" w:rsidP="002A2297">
      <w:pPr>
        <w:pStyle w:val="ListParagraph"/>
        <w:numPr>
          <w:ilvl w:val="0"/>
          <w:numId w:val="1"/>
        </w:numPr>
        <w:rPr>
          <w:rFonts w:ascii="Cambria" w:hAnsi="Cambria" w:cs="Arial"/>
          <w:lang w:val="en-GB"/>
        </w:rPr>
      </w:pPr>
      <w:r w:rsidRPr="00853958">
        <w:rPr>
          <w:rFonts w:ascii="Cambria" w:hAnsi="Cambria" w:cs="Arial"/>
          <w:i/>
          <w:lang w:val="en-GB"/>
        </w:rPr>
        <w:t>Cholangiocarcinoma</w:t>
      </w:r>
      <w:r w:rsidRPr="00853958">
        <w:rPr>
          <w:rFonts w:ascii="Cambria" w:hAnsi="Cambria" w:cs="Arial"/>
          <w:lang w:val="en-GB"/>
        </w:rPr>
        <w:t>, with main focus on mechanisms of cancer invasiveness, by unravelling:</w:t>
      </w:r>
    </w:p>
    <w:p w:rsidR="002A2297" w:rsidRPr="00853958" w:rsidRDefault="002A2297" w:rsidP="002A2297">
      <w:pPr>
        <w:pStyle w:val="ListParagraph"/>
        <w:numPr>
          <w:ilvl w:val="0"/>
          <w:numId w:val="2"/>
        </w:numPr>
        <w:rPr>
          <w:rFonts w:ascii="Cambria" w:hAnsi="Cambria" w:cs="Arial"/>
          <w:lang w:val="en-GB"/>
        </w:rPr>
      </w:pPr>
      <w:proofErr w:type="spellStart"/>
      <w:r w:rsidRPr="00853958">
        <w:rPr>
          <w:rFonts w:ascii="Cambria" w:hAnsi="Cambria" w:cs="Arial"/>
          <w:lang w:val="en-GB"/>
        </w:rPr>
        <w:t>tumor</w:t>
      </w:r>
      <w:proofErr w:type="spellEnd"/>
      <w:r w:rsidRPr="00853958">
        <w:rPr>
          <w:rFonts w:ascii="Cambria" w:hAnsi="Cambria" w:cs="Arial"/>
          <w:lang w:val="en-GB"/>
        </w:rPr>
        <w:t xml:space="preserve">-stroma interactions and pro-invasive role of </w:t>
      </w:r>
      <w:proofErr w:type="spellStart"/>
      <w:r w:rsidRPr="00853958">
        <w:rPr>
          <w:rFonts w:ascii="Cambria" w:hAnsi="Cambria" w:cs="Arial"/>
          <w:lang w:val="en-GB"/>
        </w:rPr>
        <w:t>tumor</w:t>
      </w:r>
      <w:proofErr w:type="spellEnd"/>
      <w:r w:rsidRPr="00853958">
        <w:rPr>
          <w:rFonts w:ascii="Cambria" w:hAnsi="Cambria" w:cs="Arial"/>
          <w:lang w:val="en-GB"/>
        </w:rPr>
        <w:t xml:space="preserve"> reactive stroma</w:t>
      </w:r>
    </w:p>
    <w:p w:rsidR="002A2297" w:rsidRPr="00853958" w:rsidRDefault="002A2297" w:rsidP="002A2297">
      <w:pPr>
        <w:pStyle w:val="ListParagraph"/>
        <w:numPr>
          <w:ilvl w:val="0"/>
          <w:numId w:val="2"/>
        </w:numPr>
        <w:rPr>
          <w:rFonts w:ascii="Cambria" w:hAnsi="Cambria" w:cs="Arial"/>
          <w:lang w:val="en-GB"/>
        </w:rPr>
      </w:pPr>
      <w:r w:rsidRPr="00853958">
        <w:rPr>
          <w:rFonts w:ascii="Cambria" w:hAnsi="Cambria" w:cs="Arial"/>
          <w:lang w:val="en-GB"/>
        </w:rPr>
        <w:t xml:space="preserve">characterization of </w:t>
      </w:r>
      <w:proofErr w:type="spellStart"/>
      <w:r w:rsidRPr="00853958">
        <w:rPr>
          <w:rFonts w:ascii="Cambria" w:hAnsi="Cambria" w:cs="Arial"/>
          <w:lang w:val="en-GB"/>
        </w:rPr>
        <w:t>tumor</w:t>
      </w:r>
      <w:proofErr w:type="spellEnd"/>
      <w:r w:rsidRPr="00853958">
        <w:rPr>
          <w:rFonts w:ascii="Cambria" w:hAnsi="Cambria" w:cs="Arial"/>
          <w:lang w:val="en-GB"/>
        </w:rPr>
        <w:t xml:space="preserve"> </w:t>
      </w:r>
      <w:r w:rsidR="00ED6795">
        <w:rPr>
          <w:rFonts w:ascii="Cambria" w:hAnsi="Cambria" w:cs="Arial"/>
          <w:lang w:val="en-GB"/>
        </w:rPr>
        <w:t>biomarkers</w:t>
      </w:r>
      <w:r w:rsidRPr="00853958">
        <w:rPr>
          <w:rFonts w:ascii="Cambria" w:hAnsi="Cambria" w:cs="Arial"/>
          <w:lang w:val="en-GB"/>
        </w:rPr>
        <w:t xml:space="preserve"> </w:t>
      </w:r>
      <w:r w:rsidR="00ED6795">
        <w:rPr>
          <w:rFonts w:ascii="Cambria" w:hAnsi="Cambria" w:cs="Arial"/>
          <w:lang w:val="en-GB"/>
        </w:rPr>
        <w:t>of</w:t>
      </w:r>
      <w:r w:rsidRPr="00853958">
        <w:rPr>
          <w:rFonts w:ascii="Cambria" w:hAnsi="Cambria" w:cs="Arial"/>
          <w:lang w:val="en-GB"/>
        </w:rPr>
        <w:t xml:space="preserve"> enhanced invasive phenotype as tool for molecularly targeted therapies</w:t>
      </w:r>
    </w:p>
    <w:p w:rsidR="002A2297" w:rsidRPr="00853958" w:rsidRDefault="002A2297" w:rsidP="002A2297">
      <w:pPr>
        <w:pStyle w:val="DataField11pt-Single"/>
        <w:rPr>
          <w:rFonts w:ascii="Cambria" w:hAnsi="Cambria" w:cs="Arial"/>
          <w:sz w:val="24"/>
          <w:szCs w:val="24"/>
        </w:rPr>
      </w:pPr>
    </w:p>
    <w:p w:rsidR="002A2297" w:rsidRPr="00853958" w:rsidRDefault="002A2297" w:rsidP="002A2297">
      <w:pPr>
        <w:jc w:val="both"/>
        <w:rPr>
          <w:rFonts w:ascii="Cambria" w:hAnsi="Cambria" w:cs="Arial"/>
          <w:bCs/>
          <w:sz w:val="24"/>
          <w:szCs w:val="24"/>
        </w:rPr>
      </w:pPr>
      <w:r w:rsidRPr="00853958">
        <w:rPr>
          <w:rFonts w:ascii="Cambria" w:hAnsi="Cambria" w:cs="Arial"/>
          <w:sz w:val="24"/>
          <w:szCs w:val="24"/>
        </w:rPr>
        <w:lastRenderedPageBreak/>
        <w:t xml:space="preserve">My scientific and professional interests extend to: 1) clinical management of rare liver diseases, 2) definition and application of outcome indicators (value-based medicine in hepatology) in immune-related liver diseases (AIH, PBC, PSC). </w:t>
      </w:r>
    </w:p>
    <w:p w:rsidR="00655C7A" w:rsidRPr="007C23BD" w:rsidRDefault="00660061" w:rsidP="00853958">
      <w:pPr>
        <w:pStyle w:val="Heading3"/>
        <w:rPr>
          <w:rFonts w:ascii="Cambria" w:hAnsi="Cambria"/>
          <w:caps/>
          <w:sz w:val="24"/>
          <w:szCs w:val="24"/>
        </w:rPr>
      </w:pPr>
      <w:r w:rsidRPr="007C23BD">
        <w:rPr>
          <w:rFonts w:ascii="Cambria" w:hAnsi="Cambria"/>
          <w:caps/>
          <w:sz w:val="24"/>
          <w:szCs w:val="24"/>
        </w:rPr>
        <w:t>Selected Publications</w:t>
      </w:r>
    </w:p>
    <w:p w:rsidR="00AB3A1E" w:rsidRPr="00865C6A" w:rsidRDefault="00AB3A1E" w:rsidP="00AB3A1E">
      <w:pPr>
        <w:pStyle w:val="desc"/>
        <w:numPr>
          <w:ilvl w:val="0"/>
          <w:numId w:val="4"/>
        </w:numPr>
        <w:spacing w:line="276" w:lineRule="auto"/>
        <w:rPr>
          <w:rFonts w:ascii="Cambria" w:hAnsi="Cambria"/>
          <w:lang w:val="en-US"/>
        </w:rPr>
      </w:pPr>
      <w:r w:rsidRPr="00865C6A">
        <w:rPr>
          <w:rFonts w:ascii="Cambria" w:hAnsi="Cambria"/>
        </w:rPr>
        <w:t xml:space="preserve">Cadamuro M, </w:t>
      </w:r>
      <w:r w:rsidRPr="00865C6A">
        <w:rPr>
          <w:rFonts w:ascii="Cambria" w:hAnsi="Cambria" w:cs="Arial"/>
          <w:color w:val="000000" w:themeColor="text1"/>
        </w:rPr>
        <w:t>Spagnuolo G,</w:t>
      </w:r>
      <w:r w:rsidRPr="00865C6A">
        <w:rPr>
          <w:rFonts w:ascii="Cambria" w:hAnsi="Cambria" w:cs="Arial"/>
          <w:color w:val="000000" w:themeColor="text1"/>
          <w:vertAlign w:val="superscript"/>
        </w:rPr>
        <w:t xml:space="preserve"> </w:t>
      </w:r>
      <w:r w:rsidRPr="00865C6A">
        <w:rPr>
          <w:rFonts w:ascii="Cambria" w:hAnsi="Cambria" w:cs="Arial"/>
          <w:color w:val="000000" w:themeColor="text1"/>
        </w:rPr>
        <w:t xml:space="preserve">Sambado L, Indraccolo S, Nardo G, Rosato A, Brivio S, Caslini C, Stecca T, Massani M, Bassi N, Novelli E, Spirli C, Fabris L, Strazzabosco M. </w:t>
      </w:r>
      <w:r w:rsidRPr="00865C6A">
        <w:rPr>
          <w:rFonts w:ascii="Cambria" w:hAnsi="Cambria"/>
        </w:rPr>
        <w:t xml:space="preserve">Low dose paclitaxel reduces S100A4 nuclear import to inhibit invasion and hematogenous metastasis of cholangiocarcinoma. </w:t>
      </w:r>
      <w:r w:rsidRPr="00865C6A">
        <w:rPr>
          <w:rFonts w:ascii="Cambria" w:hAnsi="Cambria"/>
          <w:lang w:val="en-US"/>
        </w:rPr>
        <w:t xml:space="preserve">Cancer Res 2016; </w:t>
      </w:r>
      <w:r w:rsidR="00865C6A">
        <w:rPr>
          <w:rFonts w:ascii="Cambria" w:hAnsi="Cambria"/>
          <w:lang w:val="en-US"/>
        </w:rPr>
        <w:t>76:</w:t>
      </w:r>
      <w:r w:rsidRPr="00865C6A">
        <w:rPr>
          <w:rFonts w:ascii="Cambria" w:hAnsi="Cambria"/>
          <w:lang w:val="en-US"/>
        </w:rPr>
        <w:t>4775-84</w:t>
      </w:r>
      <w:r w:rsidR="00865C6A">
        <w:rPr>
          <w:rFonts w:ascii="Cambria" w:hAnsi="Cambria"/>
          <w:lang w:val="en-US"/>
        </w:rPr>
        <w:t>.</w:t>
      </w:r>
    </w:p>
    <w:p w:rsidR="00865C6A" w:rsidRPr="00865C6A" w:rsidRDefault="00865C6A" w:rsidP="00865C6A">
      <w:pPr>
        <w:pStyle w:val="desc"/>
        <w:numPr>
          <w:ilvl w:val="0"/>
          <w:numId w:val="4"/>
        </w:numPr>
        <w:spacing w:line="276" w:lineRule="auto"/>
        <w:rPr>
          <w:rFonts w:ascii="Cambria" w:hAnsi="Cambria"/>
          <w:lang w:val="en-US"/>
        </w:rPr>
      </w:pPr>
      <w:r w:rsidRPr="00865C6A">
        <w:rPr>
          <w:rFonts w:ascii="Cambria" w:hAnsi="Cambria"/>
          <w:lang w:val="en-US"/>
        </w:rPr>
        <w:t xml:space="preserve">Locatelli L, Cadamuro M, </w:t>
      </w:r>
      <w:r w:rsidRPr="00865C6A">
        <w:rPr>
          <w:rFonts w:ascii="Cambria" w:hAnsi="Cambria" w:cs="Calibri"/>
          <w:bCs/>
          <w:color w:val="000000" w:themeColor="text1"/>
          <w:lang w:val="en-US"/>
        </w:rPr>
        <w:t xml:space="preserve">Spirli C, Fiorotto R, </w:t>
      </w:r>
      <w:proofErr w:type="spellStart"/>
      <w:r w:rsidRPr="00865C6A">
        <w:rPr>
          <w:rFonts w:ascii="Cambria" w:hAnsi="Cambria" w:cs="Calibri"/>
          <w:bCs/>
          <w:color w:val="000000" w:themeColor="text1"/>
          <w:lang w:val="en-US"/>
        </w:rPr>
        <w:t>Lecchi</w:t>
      </w:r>
      <w:proofErr w:type="spellEnd"/>
      <w:r w:rsidRPr="00865C6A">
        <w:rPr>
          <w:rFonts w:ascii="Cambria" w:hAnsi="Cambria" w:cs="Calibri"/>
          <w:bCs/>
          <w:color w:val="000000" w:themeColor="text1"/>
          <w:lang w:val="en-US"/>
        </w:rPr>
        <w:t xml:space="preserve"> S, Morell CM, Popov Y, </w:t>
      </w:r>
      <w:proofErr w:type="spellStart"/>
      <w:r w:rsidRPr="00865C6A">
        <w:rPr>
          <w:rFonts w:ascii="Cambria" w:hAnsi="Cambria" w:cs="Calibri"/>
          <w:bCs/>
          <w:color w:val="000000" w:themeColor="text1"/>
          <w:lang w:val="en-US"/>
        </w:rPr>
        <w:t>Scirpo</w:t>
      </w:r>
      <w:proofErr w:type="spellEnd"/>
      <w:r w:rsidRPr="00865C6A">
        <w:rPr>
          <w:rFonts w:ascii="Cambria" w:hAnsi="Cambria" w:cs="Calibri"/>
          <w:bCs/>
          <w:color w:val="000000" w:themeColor="text1"/>
          <w:lang w:val="en-US"/>
        </w:rPr>
        <w:t xml:space="preserve"> R, De </w:t>
      </w:r>
      <w:proofErr w:type="spellStart"/>
      <w:r w:rsidRPr="00865C6A">
        <w:rPr>
          <w:rFonts w:ascii="Cambria" w:hAnsi="Cambria" w:cs="Calibri"/>
          <w:bCs/>
          <w:color w:val="000000" w:themeColor="text1"/>
          <w:lang w:val="en-US"/>
        </w:rPr>
        <w:t>Matteis</w:t>
      </w:r>
      <w:proofErr w:type="spellEnd"/>
      <w:r w:rsidRPr="00865C6A">
        <w:rPr>
          <w:rFonts w:ascii="Cambria" w:hAnsi="Cambria" w:cs="Calibri"/>
          <w:bCs/>
          <w:color w:val="000000" w:themeColor="text1"/>
          <w:lang w:val="en-US"/>
        </w:rPr>
        <w:t xml:space="preserve"> M, </w:t>
      </w:r>
      <w:proofErr w:type="spellStart"/>
      <w:r w:rsidRPr="00865C6A">
        <w:rPr>
          <w:rFonts w:ascii="Cambria" w:hAnsi="Cambria" w:cs="Calibri"/>
          <w:bCs/>
          <w:color w:val="000000" w:themeColor="text1"/>
          <w:lang w:val="en-US"/>
        </w:rPr>
        <w:t>Amenduni</w:t>
      </w:r>
      <w:proofErr w:type="spellEnd"/>
      <w:r w:rsidRPr="00865C6A">
        <w:rPr>
          <w:rFonts w:ascii="Cambria" w:hAnsi="Cambria" w:cs="Calibri"/>
          <w:bCs/>
          <w:color w:val="000000" w:themeColor="text1"/>
          <w:lang w:val="en-US"/>
        </w:rPr>
        <w:t xml:space="preserve"> M, Pietrobattista A, Torre G, Schuppan D, Fabris L, Strazzabosco M. Macrophage recruitment by </w:t>
      </w:r>
      <w:proofErr w:type="spellStart"/>
      <w:r w:rsidRPr="00865C6A">
        <w:rPr>
          <w:rFonts w:ascii="Cambria" w:hAnsi="Cambria" w:cs="Calibri"/>
          <w:bCs/>
          <w:color w:val="000000" w:themeColor="text1"/>
          <w:lang w:val="en-US"/>
        </w:rPr>
        <w:t>Fibrocystin</w:t>
      </w:r>
      <w:proofErr w:type="spellEnd"/>
      <w:r w:rsidRPr="00865C6A">
        <w:rPr>
          <w:rFonts w:ascii="Cambria" w:hAnsi="Cambria" w:cs="Calibri"/>
          <w:bCs/>
          <w:color w:val="000000" w:themeColor="text1"/>
          <w:lang w:val="en-US"/>
        </w:rPr>
        <w:t>-defective biliary epithelial cells promotes portal fibrosis in Congenital Hepatic Fibrosis. Hepatology 2016;</w:t>
      </w:r>
      <w:r w:rsidR="00CB558A">
        <w:rPr>
          <w:rFonts w:ascii="Cambria" w:hAnsi="Cambria" w:cs="Calibri"/>
          <w:bCs/>
          <w:color w:val="000000" w:themeColor="text1"/>
          <w:lang w:val="en-US"/>
        </w:rPr>
        <w:t xml:space="preserve"> </w:t>
      </w:r>
      <w:r w:rsidRPr="00865C6A">
        <w:rPr>
          <w:rFonts w:ascii="Cambria" w:hAnsi="Cambria" w:cs="Calibri"/>
          <w:bCs/>
          <w:color w:val="000000" w:themeColor="text1"/>
          <w:lang w:val="en-US"/>
        </w:rPr>
        <w:t>63:</w:t>
      </w:r>
      <w:r w:rsidRPr="00865C6A">
        <w:rPr>
          <w:rFonts w:ascii="Cambria" w:hAnsi="Cambria"/>
          <w:lang w:val="en-US"/>
        </w:rPr>
        <w:t>965-82.</w:t>
      </w:r>
    </w:p>
    <w:p w:rsidR="00865C6A" w:rsidRPr="00865C6A" w:rsidRDefault="00865C6A" w:rsidP="00865C6A">
      <w:pPr>
        <w:pStyle w:val="desc"/>
        <w:numPr>
          <w:ilvl w:val="0"/>
          <w:numId w:val="4"/>
        </w:numPr>
        <w:spacing w:line="276" w:lineRule="auto"/>
        <w:rPr>
          <w:rFonts w:ascii="Cambria" w:hAnsi="Cambria"/>
          <w:lang w:val="en-US"/>
        </w:rPr>
      </w:pPr>
      <w:r w:rsidRPr="00865C6A">
        <w:rPr>
          <w:rFonts w:ascii="Cambria" w:hAnsi="Cambria"/>
          <w:lang w:val="en-US"/>
        </w:rPr>
        <w:t xml:space="preserve">Morton SD, Cadamuro M, Brivio S, Vismara M, Stecca T, </w:t>
      </w:r>
      <w:proofErr w:type="spellStart"/>
      <w:r w:rsidRPr="00865C6A">
        <w:rPr>
          <w:rFonts w:ascii="Cambria" w:hAnsi="Cambria"/>
          <w:lang w:val="en-US"/>
        </w:rPr>
        <w:t>Massani</w:t>
      </w:r>
      <w:proofErr w:type="spellEnd"/>
      <w:r w:rsidRPr="00865C6A">
        <w:rPr>
          <w:rFonts w:ascii="Cambria" w:hAnsi="Cambria"/>
          <w:lang w:val="en-US"/>
        </w:rPr>
        <w:t xml:space="preserve"> M, </w:t>
      </w:r>
      <w:proofErr w:type="spellStart"/>
      <w:r w:rsidRPr="00865C6A">
        <w:rPr>
          <w:rFonts w:ascii="Cambria" w:hAnsi="Cambria"/>
          <w:lang w:val="en-US"/>
        </w:rPr>
        <w:t>Bassi</w:t>
      </w:r>
      <w:proofErr w:type="spellEnd"/>
      <w:r w:rsidRPr="00865C6A">
        <w:rPr>
          <w:rFonts w:ascii="Cambria" w:hAnsi="Cambria"/>
          <w:lang w:val="en-US"/>
        </w:rPr>
        <w:t xml:space="preserve"> N, </w:t>
      </w:r>
      <w:proofErr w:type="spellStart"/>
      <w:r w:rsidRPr="00865C6A">
        <w:rPr>
          <w:rFonts w:ascii="Cambria" w:hAnsi="Cambria"/>
          <w:lang w:val="en-US"/>
        </w:rPr>
        <w:t>Furlanetto</w:t>
      </w:r>
      <w:proofErr w:type="spellEnd"/>
      <w:r w:rsidRPr="00865C6A">
        <w:rPr>
          <w:rFonts w:ascii="Cambria" w:hAnsi="Cambria"/>
          <w:lang w:val="en-US"/>
        </w:rPr>
        <w:t xml:space="preserve"> A, Joplin RE, Floreani A, Fabris L, Strazzabosco M. Leukemia inhibitory factor protects cholangiocarcinoma cells from drug-induced apoptosis via a PI3K/AKT-dependent Mcl-1 activation. </w:t>
      </w:r>
      <w:proofErr w:type="spellStart"/>
      <w:r w:rsidRPr="00865C6A">
        <w:rPr>
          <w:rFonts w:ascii="Cambria" w:hAnsi="Cambria"/>
          <w:lang w:val="en-US"/>
        </w:rPr>
        <w:t>Oncotarget</w:t>
      </w:r>
      <w:proofErr w:type="spellEnd"/>
      <w:r w:rsidRPr="00865C6A">
        <w:rPr>
          <w:rFonts w:ascii="Cambria" w:hAnsi="Cambria"/>
          <w:lang w:val="en-US"/>
        </w:rPr>
        <w:t xml:space="preserve"> 2015;</w:t>
      </w:r>
      <w:r w:rsidR="00CB558A">
        <w:rPr>
          <w:rFonts w:ascii="Cambria" w:hAnsi="Cambria"/>
          <w:lang w:val="en-US"/>
        </w:rPr>
        <w:t xml:space="preserve"> </w:t>
      </w:r>
      <w:r w:rsidRPr="00865C6A">
        <w:rPr>
          <w:rFonts w:ascii="Cambria" w:hAnsi="Cambria"/>
          <w:lang w:val="en-US"/>
        </w:rPr>
        <w:t>6:26052-64.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</w:tabs>
        <w:spacing w:line="276" w:lineRule="auto"/>
        <w:jc w:val="both"/>
        <w:rPr>
          <w:rFonts w:ascii="Cambria" w:hAnsi="Cambria" w:cs="Arial"/>
          <w:color w:val="auto"/>
          <w:szCs w:val="24"/>
          <w:lang w:val="it-IT"/>
        </w:rPr>
      </w:pPr>
      <w:r w:rsidRPr="00865C6A">
        <w:rPr>
          <w:rFonts w:ascii="Cambria" w:hAnsi="Cambria" w:cs="Arial"/>
          <w:color w:val="auto"/>
          <w:szCs w:val="24"/>
        </w:rPr>
        <w:t xml:space="preserve">Cadamuro M, Nardo G, </w:t>
      </w:r>
      <w:proofErr w:type="spellStart"/>
      <w:r w:rsidRPr="00865C6A">
        <w:rPr>
          <w:rFonts w:ascii="Cambria" w:hAnsi="Cambria" w:cs="Arial"/>
          <w:color w:val="auto"/>
          <w:szCs w:val="24"/>
        </w:rPr>
        <w:t>Indraccolo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S, </w:t>
      </w:r>
      <w:proofErr w:type="spellStart"/>
      <w:r w:rsidRPr="00865C6A">
        <w:rPr>
          <w:rFonts w:ascii="Cambria" w:hAnsi="Cambria" w:cs="Arial"/>
          <w:color w:val="auto"/>
          <w:szCs w:val="24"/>
        </w:rPr>
        <w:t>Dall'olmo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</w:t>
      </w:r>
      <w:proofErr w:type="spellStart"/>
      <w:r w:rsidRPr="00865C6A">
        <w:rPr>
          <w:rFonts w:ascii="Cambria" w:hAnsi="Cambria" w:cs="Arial"/>
          <w:color w:val="auto"/>
          <w:szCs w:val="24"/>
        </w:rPr>
        <w:t>Sambado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</w:t>
      </w:r>
      <w:proofErr w:type="spellStart"/>
      <w:r w:rsidRPr="00865C6A">
        <w:rPr>
          <w:rFonts w:ascii="Cambria" w:hAnsi="Cambria" w:cs="Arial"/>
          <w:color w:val="auto"/>
          <w:szCs w:val="24"/>
        </w:rPr>
        <w:t>Moserle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</w:t>
      </w:r>
      <w:proofErr w:type="spellStart"/>
      <w:r w:rsidRPr="00865C6A">
        <w:rPr>
          <w:rFonts w:ascii="Cambria" w:hAnsi="Cambria" w:cs="Arial"/>
          <w:color w:val="auto"/>
          <w:szCs w:val="24"/>
        </w:rPr>
        <w:t>Franceschet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I, </w:t>
      </w:r>
      <w:proofErr w:type="spellStart"/>
      <w:r w:rsidRPr="00865C6A">
        <w:rPr>
          <w:rFonts w:ascii="Cambria" w:hAnsi="Cambria" w:cs="Arial"/>
          <w:color w:val="auto"/>
          <w:szCs w:val="24"/>
        </w:rPr>
        <w:t>Colledan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Massani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Stecca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T, </w:t>
      </w:r>
      <w:proofErr w:type="spellStart"/>
      <w:r w:rsidRPr="00865C6A">
        <w:rPr>
          <w:rFonts w:ascii="Cambria" w:hAnsi="Cambria" w:cs="Arial"/>
          <w:color w:val="auto"/>
          <w:szCs w:val="24"/>
        </w:rPr>
        <w:t>Bassi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N, Morton S, Spirli C, Fiorotto R, Fabris L, Strazzabosco M. Platelet-derived growth factor-D and Rho </w:t>
      </w:r>
      <w:proofErr w:type="spellStart"/>
      <w:r w:rsidRPr="00865C6A">
        <w:rPr>
          <w:rFonts w:ascii="Cambria" w:hAnsi="Cambria" w:cs="Arial"/>
          <w:color w:val="auto"/>
          <w:szCs w:val="24"/>
        </w:rPr>
        <w:t>GTPases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regulate recruitment of cancer-associated fibroblasts in cholangiocarcinoma. </w:t>
      </w:r>
      <w:r w:rsidRPr="00865C6A">
        <w:rPr>
          <w:rFonts w:ascii="Cambria" w:hAnsi="Cambria"/>
          <w:color w:val="auto"/>
          <w:szCs w:val="24"/>
          <w:lang w:val="it-IT"/>
        </w:rPr>
        <w:t>Hepatology 2013</w:t>
      </w:r>
      <w:r w:rsidRPr="00865C6A">
        <w:rPr>
          <w:rFonts w:ascii="Cambria" w:hAnsi="Cambria"/>
          <w:bCs/>
          <w:color w:val="auto"/>
          <w:szCs w:val="24"/>
          <w:lang w:val="it-IT"/>
        </w:rPr>
        <w:t>; 58: 1042-53</w:t>
      </w:r>
      <w:r w:rsidRPr="00865C6A">
        <w:rPr>
          <w:rFonts w:ascii="Cambria" w:hAnsi="Cambria"/>
          <w:color w:val="auto"/>
          <w:szCs w:val="24"/>
          <w:lang w:val="it-IT"/>
        </w:rPr>
        <w:t>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</w:tabs>
        <w:spacing w:line="276" w:lineRule="auto"/>
        <w:jc w:val="both"/>
        <w:rPr>
          <w:rFonts w:ascii="Cambria" w:hAnsi="Cambria" w:cs="Arial"/>
          <w:color w:val="auto"/>
          <w:szCs w:val="24"/>
        </w:rPr>
      </w:pPr>
      <w:r w:rsidRPr="00865C6A">
        <w:rPr>
          <w:rFonts w:ascii="Cambria" w:hAnsi="Cambria" w:cs="Arial"/>
          <w:color w:val="auto"/>
          <w:szCs w:val="24"/>
        </w:rPr>
        <w:t xml:space="preserve">Strazzabosco M, Fabris L. Development of the bile ducts: essentials for the clinical </w:t>
      </w:r>
      <w:proofErr w:type="spellStart"/>
      <w:r w:rsidRPr="00865C6A">
        <w:rPr>
          <w:rFonts w:ascii="Cambria" w:hAnsi="Cambria" w:cs="Arial"/>
          <w:color w:val="auto"/>
          <w:szCs w:val="24"/>
        </w:rPr>
        <w:t>hepatologist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. J </w:t>
      </w:r>
      <w:proofErr w:type="spellStart"/>
      <w:r w:rsidRPr="00865C6A">
        <w:rPr>
          <w:rFonts w:ascii="Cambria" w:hAnsi="Cambria" w:cs="Arial"/>
          <w:color w:val="auto"/>
          <w:szCs w:val="24"/>
        </w:rPr>
        <w:t>Hepatol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2012;</w:t>
      </w:r>
      <w:r w:rsidR="00CB558A">
        <w:rPr>
          <w:rFonts w:ascii="Cambria" w:hAnsi="Cambria" w:cs="Arial"/>
          <w:color w:val="auto"/>
          <w:szCs w:val="24"/>
        </w:rPr>
        <w:t xml:space="preserve"> </w:t>
      </w:r>
      <w:r w:rsidRPr="00865C6A">
        <w:rPr>
          <w:rFonts w:ascii="Cambria" w:hAnsi="Cambria" w:cs="Arial"/>
          <w:color w:val="auto"/>
          <w:szCs w:val="24"/>
        </w:rPr>
        <w:t>56:1159-70.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</w:tabs>
        <w:spacing w:line="276" w:lineRule="auto"/>
        <w:jc w:val="both"/>
        <w:rPr>
          <w:rFonts w:ascii="Cambria" w:hAnsi="Cambria"/>
          <w:color w:val="auto"/>
          <w:szCs w:val="24"/>
        </w:rPr>
      </w:pPr>
      <w:r w:rsidRPr="00865C6A">
        <w:rPr>
          <w:rFonts w:ascii="Cambria" w:hAnsi="Cambria" w:cs="Arial"/>
          <w:color w:val="auto"/>
          <w:szCs w:val="24"/>
        </w:rPr>
        <w:t xml:space="preserve">Fabris L, </w:t>
      </w:r>
      <w:proofErr w:type="spellStart"/>
      <w:r w:rsidRPr="00865C6A">
        <w:rPr>
          <w:rFonts w:ascii="Cambria" w:hAnsi="Cambria" w:cs="Arial"/>
          <w:color w:val="auto"/>
          <w:szCs w:val="24"/>
        </w:rPr>
        <w:t>Cadamuro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Moserle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Dziura J, Cong X, </w:t>
      </w:r>
      <w:proofErr w:type="spellStart"/>
      <w:r w:rsidRPr="00865C6A">
        <w:rPr>
          <w:rFonts w:ascii="Cambria" w:hAnsi="Cambria" w:cs="Arial"/>
          <w:color w:val="auto"/>
          <w:szCs w:val="24"/>
        </w:rPr>
        <w:t>Sambado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</w:t>
      </w:r>
      <w:proofErr w:type="spellStart"/>
      <w:r w:rsidRPr="00865C6A">
        <w:rPr>
          <w:rFonts w:ascii="Cambria" w:hAnsi="Cambria" w:cs="Arial"/>
          <w:color w:val="auto"/>
          <w:szCs w:val="24"/>
        </w:rPr>
        <w:t>Nardo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G, </w:t>
      </w:r>
      <w:proofErr w:type="spellStart"/>
      <w:r w:rsidRPr="00865C6A">
        <w:rPr>
          <w:rFonts w:ascii="Cambria" w:hAnsi="Cambria" w:cs="Arial"/>
          <w:color w:val="auto"/>
          <w:szCs w:val="24"/>
        </w:rPr>
        <w:t>Sonzogni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A, </w:t>
      </w:r>
      <w:proofErr w:type="spellStart"/>
      <w:r w:rsidRPr="00865C6A">
        <w:rPr>
          <w:rFonts w:ascii="Cambria" w:hAnsi="Cambria" w:cs="Arial"/>
          <w:color w:val="auto"/>
          <w:szCs w:val="24"/>
        </w:rPr>
        <w:t>Colledan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Furlanetto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A, </w:t>
      </w:r>
      <w:proofErr w:type="spellStart"/>
      <w:r w:rsidRPr="00865C6A">
        <w:rPr>
          <w:rFonts w:ascii="Cambria" w:hAnsi="Cambria" w:cs="Arial"/>
          <w:color w:val="auto"/>
          <w:szCs w:val="24"/>
        </w:rPr>
        <w:t>Bassi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N, </w:t>
      </w:r>
      <w:proofErr w:type="spellStart"/>
      <w:r w:rsidRPr="00865C6A">
        <w:rPr>
          <w:rFonts w:ascii="Cambria" w:hAnsi="Cambria" w:cs="Arial"/>
          <w:color w:val="auto"/>
          <w:szCs w:val="24"/>
        </w:rPr>
        <w:t>Massani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Cillo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U, </w:t>
      </w:r>
      <w:proofErr w:type="spellStart"/>
      <w:r w:rsidRPr="00865C6A">
        <w:rPr>
          <w:rFonts w:ascii="Cambria" w:hAnsi="Cambria" w:cs="Arial"/>
          <w:color w:val="auto"/>
          <w:szCs w:val="24"/>
        </w:rPr>
        <w:t>Mescoli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C, </w:t>
      </w:r>
      <w:proofErr w:type="spellStart"/>
      <w:r w:rsidRPr="00865C6A">
        <w:rPr>
          <w:rFonts w:ascii="Cambria" w:hAnsi="Cambria" w:cs="Arial"/>
          <w:color w:val="auto"/>
          <w:szCs w:val="24"/>
        </w:rPr>
        <w:t>Indraccolo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S, </w:t>
      </w:r>
      <w:proofErr w:type="spellStart"/>
      <w:r w:rsidRPr="00865C6A">
        <w:rPr>
          <w:rFonts w:ascii="Cambria" w:hAnsi="Cambria" w:cs="Arial"/>
          <w:color w:val="auto"/>
          <w:szCs w:val="24"/>
        </w:rPr>
        <w:t>Rugge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</w:rPr>
        <w:t>Okolicsanyi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Strazzabosco M. Nuclear expression of S100A4 calcium binding protein increases cholangiocarcinoma invasiveness and </w:t>
      </w:r>
      <w:proofErr w:type="spellStart"/>
      <w:r w:rsidRPr="00865C6A">
        <w:rPr>
          <w:rFonts w:ascii="Cambria" w:hAnsi="Cambria" w:cs="Arial"/>
          <w:color w:val="auto"/>
          <w:szCs w:val="24"/>
        </w:rPr>
        <w:t>metastatisation</w:t>
      </w:r>
      <w:proofErr w:type="spellEnd"/>
      <w:r w:rsidRPr="00865C6A">
        <w:rPr>
          <w:rFonts w:ascii="Cambria" w:hAnsi="Cambria" w:cs="Arial"/>
          <w:color w:val="auto"/>
          <w:szCs w:val="24"/>
        </w:rPr>
        <w:t>. Hepatology 2011; 54:890-9.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clear" w:pos="708"/>
          <w:tab w:val="left" w:pos="720"/>
        </w:tabs>
        <w:spacing w:line="276" w:lineRule="auto"/>
        <w:jc w:val="both"/>
        <w:rPr>
          <w:rFonts w:ascii="Cambria" w:hAnsi="Cambria"/>
          <w:color w:val="auto"/>
          <w:szCs w:val="24"/>
        </w:rPr>
      </w:pPr>
      <w:r w:rsidRPr="00865C6A">
        <w:rPr>
          <w:rFonts w:ascii="Cambria" w:hAnsi="Cambria" w:cs="Arial"/>
          <w:color w:val="auto"/>
          <w:szCs w:val="24"/>
        </w:rPr>
        <w:t xml:space="preserve">Fabris L, Strazzabosco M. Epithelial-mesenchymal interactions in biliary diseases. </w:t>
      </w:r>
      <w:proofErr w:type="spellStart"/>
      <w:r w:rsidRPr="00865C6A">
        <w:rPr>
          <w:rFonts w:ascii="Cambria" w:hAnsi="Cambria" w:cs="Arial"/>
          <w:color w:val="auto"/>
          <w:szCs w:val="24"/>
        </w:rPr>
        <w:t>Semin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Liver Dis 2011;</w:t>
      </w:r>
      <w:r w:rsidR="00CB558A">
        <w:rPr>
          <w:rFonts w:ascii="Cambria" w:hAnsi="Cambria" w:cs="Arial"/>
          <w:color w:val="auto"/>
          <w:szCs w:val="24"/>
        </w:rPr>
        <w:t xml:space="preserve"> </w:t>
      </w:r>
      <w:r w:rsidRPr="00865C6A">
        <w:rPr>
          <w:rFonts w:ascii="Cambria" w:hAnsi="Cambria" w:cs="Arial"/>
          <w:color w:val="auto"/>
          <w:szCs w:val="24"/>
        </w:rPr>
        <w:t>31:11-32.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  <w:tab w:val="left" w:pos="2520"/>
          <w:tab w:val="left" w:pos="2880"/>
          <w:tab w:val="left" w:pos="3420"/>
          <w:tab w:val="left" w:pos="4230"/>
        </w:tabs>
        <w:spacing w:line="276" w:lineRule="auto"/>
        <w:jc w:val="both"/>
        <w:rPr>
          <w:rFonts w:ascii="Cambria" w:hAnsi="Cambria"/>
          <w:color w:val="auto"/>
          <w:szCs w:val="24"/>
        </w:rPr>
      </w:pPr>
      <w:r w:rsidRPr="00865C6A">
        <w:rPr>
          <w:rFonts w:ascii="Cambria" w:hAnsi="Cambria" w:cs="Arial"/>
          <w:color w:val="auto"/>
          <w:szCs w:val="24"/>
          <w:lang w:val="en-GB"/>
        </w:rPr>
        <w:t xml:space="preserve">Fabris L,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Cadamuro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M,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Libbrecht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L, Raynaud P,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Spirlì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C, Fiorotto R,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Okolicsanyi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L,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Lemaigre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F, Strazzabosco M,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Roskams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T. Epithelial expression of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angiogenic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growth factors modulate arterial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vasculogenesis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in human liver development. Hepatology </w:t>
      </w:r>
      <w:r w:rsidRPr="00865C6A">
        <w:rPr>
          <w:rStyle w:val="ti"/>
          <w:rFonts w:ascii="Cambria" w:hAnsi="Cambria" w:cs="Arial"/>
          <w:color w:val="auto"/>
          <w:szCs w:val="24"/>
          <w:lang w:val="en-GB"/>
        </w:rPr>
        <w:t>2008;</w:t>
      </w:r>
      <w:r w:rsidR="00CB558A">
        <w:rPr>
          <w:rStyle w:val="ti"/>
          <w:rFonts w:ascii="Cambria" w:hAnsi="Cambria" w:cs="Arial"/>
          <w:color w:val="auto"/>
          <w:szCs w:val="24"/>
          <w:lang w:val="en-GB"/>
        </w:rPr>
        <w:t xml:space="preserve"> </w:t>
      </w:r>
      <w:r w:rsidRPr="00865C6A">
        <w:rPr>
          <w:rStyle w:val="ti"/>
          <w:rFonts w:ascii="Cambria" w:hAnsi="Cambria" w:cs="Arial"/>
          <w:color w:val="auto"/>
          <w:szCs w:val="24"/>
          <w:lang w:val="en-GB"/>
        </w:rPr>
        <w:t>47:719-28</w:t>
      </w:r>
      <w:r w:rsidRPr="00865C6A">
        <w:rPr>
          <w:rFonts w:ascii="Cambria" w:hAnsi="Cambria" w:cs="Arial"/>
          <w:color w:val="auto"/>
          <w:szCs w:val="24"/>
          <w:lang w:val="en-GB"/>
        </w:rPr>
        <w:t>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  <w:tab w:val="left" w:pos="2520"/>
          <w:tab w:val="left" w:pos="2880"/>
          <w:tab w:val="left" w:pos="3420"/>
          <w:tab w:val="left" w:pos="4230"/>
        </w:tabs>
        <w:spacing w:line="276" w:lineRule="auto"/>
        <w:jc w:val="both"/>
        <w:rPr>
          <w:rFonts w:ascii="Cambria" w:hAnsi="Cambria"/>
          <w:color w:val="auto"/>
          <w:szCs w:val="24"/>
        </w:rPr>
      </w:pPr>
      <w:r w:rsidRPr="00865C6A">
        <w:rPr>
          <w:rFonts w:ascii="Cambria" w:hAnsi="Cambria" w:cs="Arial"/>
          <w:color w:val="auto"/>
          <w:szCs w:val="24"/>
        </w:rPr>
        <w:t xml:space="preserve">Fabris L, Cadamuro M, Guido M, </w:t>
      </w:r>
      <w:proofErr w:type="spellStart"/>
      <w:r w:rsidRPr="00865C6A">
        <w:rPr>
          <w:rFonts w:ascii="Cambria" w:hAnsi="Cambria" w:cs="Arial"/>
          <w:color w:val="auto"/>
          <w:szCs w:val="24"/>
        </w:rPr>
        <w:t>Spirlì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C, Fiorotto R, </w:t>
      </w:r>
      <w:proofErr w:type="spellStart"/>
      <w:r w:rsidRPr="00865C6A">
        <w:rPr>
          <w:rFonts w:ascii="Cambria" w:hAnsi="Cambria" w:cs="Arial"/>
          <w:color w:val="auto"/>
          <w:szCs w:val="24"/>
        </w:rPr>
        <w:t>Colledan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M, Torre G, </w:t>
      </w:r>
      <w:proofErr w:type="spellStart"/>
      <w:r w:rsidRPr="00865C6A">
        <w:rPr>
          <w:rFonts w:ascii="Cambria" w:hAnsi="Cambria" w:cs="Arial"/>
          <w:color w:val="auto"/>
          <w:szCs w:val="24"/>
        </w:rPr>
        <w:t>Alberti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D, </w:t>
      </w:r>
      <w:proofErr w:type="spellStart"/>
      <w:r w:rsidRPr="00865C6A">
        <w:rPr>
          <w:rFonts w:ascii="Cambria" w:hAnsi="Cambria" w:cs="Arial"/>
          <w:color w:val="auto"/>
          <w:szCs w:val="24"/>
        </w:rPr>
        <w:t>Sonzogni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A, </w:t>
      </w:r>
      <w:proofErr w:type="spellStart"/>
      <w:r w:rsidRPr="00865C6A">
        <w:rPr>
          <w:rFonts w:ascii="Cambria" w:hAnsi="Cambria" w:cs="Arial"/>
          <w:color w:val="auto"/>
          <w:szCs w:val="24"/>
        </w:rPr>
        <w:t>Okolicsanyi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L, Strazzabosco M. Analysis of liver repair mechanisms in </w:t>
      </w:r>
      <w:proofErr w:type="spellStart"/>
      <w:r w:rsidRPr="00865C6A">
        <w:rPr>
          <w:rFonts w:ascii="Cambria" w:hAnsi="Cambria" w:cs="Arial"/>
          <w:color w:val="auto"/>
          <w:szCs w:val="24"/>
        </w:rPr>
        <w:t>Alagille</w:t>
      </w:r>
      <w:proofErr w:type="spellEnd"/>
      <w:r w:rsidRPr="00865C6A">
        <w:rPr>
          <w:rFonts w:ascii="Cambria" w:hAnsi="Cambria" w:cs="Arial"/>
          <w:color w:val="auto"/>
          <w:szCs w:val="24"/>
        </w:rPr>
        <w:t xml:space="preserve"> Syndrome and Biliary Atresia reveals a role for Notch signaling. </w:t>
      </w:r>
      <w:r w:rsidRPr="00865C6A">
        <w:rPr>
          <w:rFonts w:ascii="Cambria" w:hAnsi="Cambria" w:cs="Arial"/>
          <w:color w:val="auto"/>
          <w:szCs w:val="24"/>
          <w:lang w:val="en-GB"/>
        </w:rPr>
        <w:t xml:space="preserve">Am J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Pathol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2007;</w:t>
      </w:r>
      <w:r w:rsidR="00CB558A">
        <w:rPr>
          <w:rFonts w:ascii="Cambria" w:hAnsi="Cambria" w:cs="Arial"/>
          <w:color w:val="auto"/>
          <w:szCs w:val="24"/>
          <w:lang w:val="en-GB"/>
        </w:rPr>
        <w:t xml:space="preserve"> </w:t>
      </w:r>
      <w:r w:rsidRPr="00865C6A">
        <w:rPr>
          <w:rFonts w:ascii="Cambria" w:hAnsi="Cambria" w:cs="Arial"/>
          <w:color w:val="auto"/>
          <w:szCs w:val="24"/>
          <w:lang w:val="en-GB"/>
        </w:rPr>
        <w:t>171:641-53.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  <w:tab w:val="left" w:pos="2520"/>
          <w:tab w:val="left" w:pos="2880"/>
          <w:tab w:val="left" w:pos="3420"/>
          <w:tab w:val="left" w:pos="4230"/>
        </w:tabs>
        <w:spacing w:line="276" w:lineRule="auto"/>
        <w:jc w:val="both"/>
        <w:rPr>
          <w:rFonts w:ascii="Cambria" w:hAnsi="Cambria"/>
          <w:color w:val="auto"/>
          <w:szCs w:val="24"/>
          <w:lang w:val="it-IT"/>
        </w:rPr>
      </w:pPr>
      <w:r w:rsidRPr="00865C6A">
        <w:rPr>
          <w:rFonts w:ascii="Cambria" w:hAnsi="Cambria" w:cs="Arial"/>
          <w:color w:val="auto"/>
          <w:szCs w:val="24"/>
          <w:lang w:val="en-GB"/>
        </w:rPr>
        <w:t xml:space="preserve">Fabris L, Cadamuro M, Fiorotto R,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Roskams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T,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Spirlì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C,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Melero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S,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Sonzogni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A, Joplin RE, Okolicsanyi L, Strazzabosco M. Effects of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angiogenic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factor overexpression  by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cholangiocytes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in polycystic liver diseases. </w:t>
      </w:r>
      <w:r w:rsidRPr="00865C6A">
        <w:rPr>
          <w:rFonts w:ascii="Cambria" w:hAnsi="Cambria" w:cs="Arial"/>
          <w:color w:val="auto"/>
          <w:szCs w:val="24"/>
          <w:lang w:val="it-IT"/>
        </w:rPr>
        <w:t>Hepatology 2006;</w:t>
      </w:r>
      <w:r w:rsidR="00CB558A">
        <w:rPr>
          <w:rFonts w:ascii="Cambria" w:hAnsi="Cambria" w:cs="Arial"/>
          <w:color w:val="auto"/>
          <w:szCs w:val="24"/>
          <w:lang w:val="it-IT"/>
        </w:rPr>
        <w:t xml:space="preserve"> </w:t>
      </w:r>
      <w:r w:rsidRPr="00865C6A">
        <w:rPr>
          <w:rFonts w:ascii="Cambria" w:hAnsi="Cambria" w:cs="Arial"/>
          <w:color w:val="auto"/>
          <w:szCs w:val="24"/>
          <w:lang w:val="it-IT"/>
        </w:rPr>
        <w:t>43:1001-12.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  <w:tab w:val="left" w:pos="2520"/>
          <w:tab w:val="left" w:pos="2880"/>
          <w:tab w:val="left" w:pos="3420"/>
          <w:tab w:val="left" w:pos="4230"/>
        </w:tabs>
        <w:spacing w:line="276" w:lineRule="auto"/>
        <w:jc w:val="both"/>
        <w:rPr>
          <w:rFonts w:ascii="Cambria" w:hAnsi="Cambria"/>
          <w:color w:val="auto"/>
          <w:szCs w:val="24"/>
          <w:lang w:val="it-IT"/>
        </w:rPr>
      </w:pPr>
      <w:r w:rsidRPr="00865C6A">
        <w:rPr>
          <w:rFonts w:ascii="Cambria" w:hAnsi="Cambria" w:cs="Arial"/>
          <w:color w:val="auto"/>
          <w:szCs w:val="24"/>
          <w:lang w:val="it-IT"/>
        </w:rPr>
        <w:lastRenderedPageBreak/>
        <w:t>Spirli C, Fabris L, Duner E, Fiorotto R, Ballardini G, Roskams T, Larusso NF, Sonzogni A, Okolicsanyi L, Strazzabosco M. Cytokine-stimulated nitric oxide production inhibits adenylyl cyclase and cAMP-dependent secretion in cholangiocytes. Gastroenterology 2003;</w:t>
      </w:r>
      <w:r w:rsidR="00CB558A">
        <w:rPr>
          <w:rFonts w:ascii="Cambria" w:hAnsi="Cambria" w:cs="Arial"/>
          <w:color w:val="auto"/>
          <w:szCs w:val="24"/>
          <w:lang w:val="it-IT"/>
        </w:rPr>
        <w:t xml:space="preserve"> </w:t>
      </w:r>
      <w:r w:rsidRPr="00865C6A">
        <w:rPr>
          <w:rFonts w:ascii="Cambria" w:hAnsi="Cambria" w:cs="Arial"/>
          <w:color w:val="auto"/>
          <w:szCs w:val="24"/>
          <w:lang w:val="it-IT"/>
        </w:rPr>
        <w:t xml:space="preserve">124:737-53. </w:t>
      </w:r>
    </w:p>
    <w:p w:rsidR="00865C6A" w:rsidRPr="00865C6A" w:rsidRDefault="00865C6A" w:rsidP="00865C6A">
      <w:pPr>
        <w:pStyle w:val="Predefinito"/>
        <w:numPr>
          <w:ilvl w:val="0"/>
          <w:numId w:val="4"/>
        </w:numPr>
        <w:tabs>
          <w:tab w:val="left" w:pos="1068"/>
          <w:tab w:val="left" w:pos="1428"/>
          <w:tab w:val="left" w:pos="1788"/>
          <w:tab w:val="left" w:pos="1800"/>
          <w:tab w:val="left" w:pos="2520"/>
          <w:tab w:val="left" w:pos="2880"/>
          <w:tab w:val="left" w:pos="3420"/>
          <w:tab w:val="left" w:pos="4230"/>
        </w:tabs>
        <w:spacing w:line="276" w:lineRule="auto"/>
        <w:jc w:val="both"/>
        <w:rPr>
          <w:rFonts w:ascii="Cambria" w:hAnsi="Cambria"/>
          <w:color w:val="auto"/>
          <w:szCs w:val="24"/>
          <w:lang w:val="it-IT"/>
        </w:rPr>
      </w:pPr>
      <w:r w:rsidRPr="00865C6A">
        <w:rPr>
          <w:rFonts w:ascii="Cambria" w:hAnsi="Cambria" w:cs="Arial"/>
          <w:color w:val="auto"/>
          <w:szCs w:val="24"/>
          <w:lang w:val="en-GB"/>
        </w:rPr>
        <w:t xml:space="preserve">Fabris L, Strazzabosco M, Crosby HA,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Ballardini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G,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Hubscher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SG, Kelly DA, Neuberger JM, Strain AJ, Joplin R. Characterization and isolation of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ductular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cells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coexpressing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neural cell adhesion molecule and Bcl-2 from primary </w:t>
      </w:r>
      <w:proofErr w:type="spellStart"/>
      <w:r w:rsidRPr="00865C6A">
        <w:rPr>
          <w:rFonts w:ascii="Cambria" w:hAnsi="Cambria" w:cs="Arial"/>
          <w:color w:val="auto"/>
          <w:szCs w:val="24"/>
          <w:lang w:val="en-GB"/>
        </w:rPr>
        <w:t>cholangiopathies</w:t>
      </w:r>
      <w:proofErr w:type="spellEnd"/>
      <w:r w:rsidRPr="00865C6A">
        <w:rPr>
          <w:rFonts w:ascii="Cambria" w:hAnsi="Cambria" w:cs="Arial"/>
          <w:color w:val="auto"/>
          <w:szCs w:val="24"/>
          <w:lang w:val="en-GB"/>
        </w:rPr>
        <w:t xml:space="preserve"> and ductal plate malformations. </w:t>
      </w:r>
      <w:r w:rsidRPr="00865C6A">
        <w:rPr>
          <w:rFonts w:ascii="Cambria" w:hAnsi="Cambria" w:cs="Arial"/>
          <w:color w:val="auto"/>
          <w:szCs w:val="24"/>
          <w:lang w:val="it-IT"/>
        </w:rPr>
        <w:t>Am J Pathol 2000;</w:t>
      </w:r>
      <w:r w:rsidR="00CB558A">
        <w:rPr>
          <w:rFonts w:ascii="Cambria" w:hAnsi="Cambria" w:cs="Arial"/>
          <w:color w:val="auto"/>
          <w:szCs w:val="24"/>
          <w:lang w:val="it-IT"/>
        </w:rPr>
        <w:t xml:space="preserve"> </w:t>
      </w:r>
      <w:r w:rsidRPr="00865C6A">
        <w:rPr>
          <w:rFonts w:ascii="Cambria" w:hAnsi="Cambria" w:cs="Arial"/>
          <w:color w:val="auto"/>
          <w:szCs w:val="24"/>
          <w:lang w:val="it-IT"/>
        </w:rPr>
        <w:t xml:space="preserve">156:1599-612. </w:t>
      </w:r>
    </w:p>
    <w:p w:rsidR="00AB3A1E" w:rsidRPr="00865C6A" w:rsidRDefault="00AB3A1E" w:rsidP="00853958">
      <w:pPr>
        <w:pStyle w:val="Heading3"/>
        <w:rPr>
          <w:rFonts w:ascii="Cambria" w:hAnsi="Cambria"/>
          <w:b w:val="0"/>
          <w:sz w:val="24"/>
          <w:szCs w:val="24"/>
          <w:lang w:val="en-US"/>
        </w:rPr>
      </w:pPr>
    </w:p>
    <w:sectPr w:rsidR="00AB3A1E" w:rsidRPr="00865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5EFF"/>
    <w:multiLevelType w:val="hybridMultilevel"/>
    <w:tmpl w:val="3BC446A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1D8F3E8">
      <w:start w:val="1"/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C6212"/>
    <w:multiLevelType w:val="hybridMultilevel"/>
    <w:tmpl w:val="1E0C0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5F98"/>
    <w:multiLevelType w:val="hybridMultilevel"/>
    <w:tmpl w:val="2F4A796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C4CE39E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A373F"/>
    <w:multiLevelType w:val="hybridMultilevel"/>
    <w:tmpl w:val="4A645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61"/>
    <w:rsid w:val="002A2297"/>
    <w:rsid w:val="006311C9"/>
    <w:rsid w:val="00655C7A"/>
    <w:rsid w:val="00660061"/>
    <w:rsid w:val="007C23BD"/>
    <w:rsid w:val="00853958"/>
    <w:rsid w:val="00865C6A"/>
    <w:rsid w:val="008A2942"/>
    <w:rsid w:val="00A65333"/>
    <w:rsid w:val="00AB3A1E"/>
    <w:rsid w:val="00CB558A"/>
    <w:rsid w:val="00E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57557-C8D0-4207-A3AD-1F2576DE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60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006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6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660061"/>
    <w:rPr>
      <w:b/>
      <w:bCs/>
    </w:rPr>
  </w:style>
  <w:style w:type="character" w:styleId="Hyperlink">
    <w:name w:val="Hyperlink"/>
    <w:basedOn w:val="DefaultParagraphFont"/>
    <w:unhideWhenUsed/>
    <w:rsid w:val="0066006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0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/>
    </w:rPr>
  </w:style>
  <w:style w:type="paragraph" w:customStyle="1" w:styleId="DataField11pt-Single">
    <w:name w:val="Data Field 11pt-Single"/>
    <w:basedOn w:val="Normal"/>
    <w:link w:val="DataField11pt-SingleChar"/>
    <w:rsid w:val="002A229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DataField11pt-SingleChar">
    <w:name w:val="Data Field 11pt-Single Char"/>
    <w:link w:val="DataField11pt-Single"/>
    <w:rsid w:val="002A2297"/>
    <w:rPr>
      <w:rFonts w:ascii="Arial" w:eastAsia="Times New Roman" w:hAnsi="Arial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A2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">
    <w:name w:val="ti"/>
    <w:basedOn w:val="DefaultParagraphFont"/>
    <w:rsid w:val="00AB3A1E"/>
  </w:style>
  <w:style w:type="character" w:customStyle="1" w:styleId="src">
    <w:name w:val="src"/>
    <w:basedOn w:val="DefaultParagraphFont"/>
    <w:rsid w:val="00AB3A1E"/>
  </w:style>
  <w:style w:type="character" w:customStyle="1" w:styleId="jrnl">
    <w:name w:val="jrnl"/>
    <w:basedOn w:val="DefaultParagraphFont"/>
    <w:rsid w:val="00AB3A1E"/>
  </w:style>
  <w:style w:type="paragraph" w:customStyle="1" w:styleId="rprtbody">
    <w:name w:val="rprtbody"/>
    <w:basedOn w:val="Normal"/>
    <w:rsid w:val="00AB3A1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Predefinito">
    <w:name w:val="Predefinito"/>
    <w:rsid w:val="00AB3A1E"/>
    <w:pPr>
      <w:tabs>
        <w:tab w:val="left" w:pos="708"/>
      </w:tabs>
      <w:suppressAutoHyphens/>
      <w:spacing w:after="0" w:line="100" w:lineRule="atLeast"/>
    </w:pPr>
    <w:rPr>
      <w:rFonts w:ascii="Times" w:eastAsia="Times" w:hAnsi="Times" w:cs="Times New Roman"/>
      <w:color w:val="00000A"/>
      <w:sz w:val="24"/>
      <w:szCs w:val="20"/>
      <w:lang w:val="en-US"/>
    </w:rPr>
  </w:style>
  <w:style w:type="character" w:customStyle="1" w:styleId="CollegamentoInternet">
    <w:name w:val="Collegamento Internet"/>
    <w:rsid w:val="00AB3A1E"/>
    <w:rPr>
      <w:color w:val="0000FF"/>
      <w:u w:val="single"/>
      <w:lang w:val="it-IT" w:eastAsia="it-IT" w:bidi="it-IT"/>
    </w:rPr>
  </w:style>
  <w:style w:type="paragraph" w:customStyle="1" w:styleId="desc">
    <w:name w:val="desc"/>
    <w:basedOn w:val="Normal"/>
    <w:rsid w:val="00AB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e.yale.edu/intmed/livercenter/" TargetMode="External"/><Relationship Id="rId13" Type="http://schemas.openxmlformats.org/officeDocument/2006/relationships/hyperlink" Target="http://facultyresearchinterests.yal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cine.yale.edu/intmed/digestivediseases" TargetMode="External"/><Relationship Id="rId12" Type="http://schemas.openxmlformats.org/officeDocument/2006/relationships/hyperlink" Target="http://medicine.yale.edu/intmed/liver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e.yale.edu/intmed/" TargetMode="External"/><Relationship Id="rId11" Type="http://schemas.openxmlformats.org/officeDocument/2006/relationships/hyperlink" Target="http://medicine.yale.edu/intmed/digestivedisease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edicine.yale.edu/int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ultyresearchinterests.yal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fabris</dc:creator>
  <cp:lastModifiedBy>Lawhorn, Karen</cp:lastModifiedBy>
  <cp:revision>2</cp:revision>
  <dcterms:created xsi:type="dcterms:W3CDTF">2017-01-30T16:45:00Z</dcterms:created>
  <dcterms:modified xsi:type="dcterms:W3CDTF">2017-01-30T16:45:00Z</dcterms:modified>
</cp:coreProperties>
</file>